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2861" w14:textId="77777777" w:rsidR="00183B30" w:rsidRDefault="00183B30"/>
    <w:p w14:paraId="2425F618" w14:textId="77777777" w:rsidR="00183B30" w:rsidRDefault="00730175">
      <w:pPr>
        <w:spacing w:line="240" w:lineRule="auto"/>
        <w:rPr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33A6C94" wp14:editId="73641F43">
            <wp:simplePos x="0" y="0"/>
            <wp:positionH relativeFrom="column">
              <wp:posOffset>3000375</wp:posOffset>
            </wp:positionH>
            <wp:positionV relativeFrom="paragraph">
              <wp:posOffset>66675</wp:posOffset>
            </wp:positionV>
            <wp:extent cx="1918970" cy="638175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4518" b="13994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5EBCED" w14:textId="77777777" w:rsidR="00183B30" w:rsidRDefault="00730175">
      <w:pPr>
        <w:widowControl w:val="0"/>
        <w:jc w:val="center"/>
        <w:rPr>
          <w:b/>
          <w:color w:val="008BA2"/>
          <w:sz w:val="40"/>
          <w:szCs w:val="40"/>
        </w:rPr>
      </w:pPr>
      <w:r>
        <w:rPr>
          <w:color w:val="008BA2"/>
          <w:sz w:val="40"/>
          <w:szCs w:val="40"/>
        </w:rPr>
        <w:t xml:space="preserve">              </w:t>
      </w:r>
      <w:proofErr w:type="spellStart"/>
      <w:r>
        <w:rPr>
          <w:b/>
          <w:color w:val="008BA2"/>
          <w:sz w:val="40"/>
          <w:szCs w:val="40"/>
        </w:rPr>
        <w:t>Linkt</w:t>
      </w:r>
      <w:proofErr w:type="spellEnd"/>
      <w:r>
        <w:rPr>
          <w:b/>
          <w:color w:val="008BA2"/>
          <w:sz w:val="40"/>
          <w:szCs w:val="40"/>
        </w:rPr>
        <w:t xml:space="preserve"> présente </w:t>
      </w:r>
    </w:p>
    <w:p w14:paraId="5082B181" w14:textId="77777777" w:rsidR="00183B30" w:rsidRDefault="00183B30">
      <w:pPr>
        <w:widowControl w:val="0"/>
        <w:jc w:val="center"/>
        <w:rPr>
          <w:color w:val="008BA2"/>
          <w:sz w:val="14"/>
          <w:szCs w:val="14"/>
        </w:rPr>
      </w:pPr>
    </w:p>
    <w:p w14:paraId="40E080CC" w14:textId="77777777" w:rsidR="00183B30" w:rsidRDefault="00730175">
      <w:pPr>
        <w:widowControl w:val="0"/>
        <w:jc w:val="center"/>
        <w:rPr>
          <w:b/>
          <w:sz w:val="34"/>
          <w:szCs w:val="34"/>
        </w:rPr>
      </w:pPr>
      <w:proofErr w:type="gramStart"/>
      <w:r>
        <w:rPr>
          <w:color w:val="008BA2"/>
          <w:sz w:val="38"/>
          <w:szCs w:val="38"/>
        </w:rPr>
        <w:t>une</w:t>
      </w:r>
      <w:proofErr w:type="gramEnd"/>
      <w:r>
        <w:rPr>
          <w:color w:val="008BA2"/>
          <w:sz w:val="38"/>
          <w:szCs w:val="38"/>
        </w:rPr>
        <w:t xml:space="preserve"> version optimisée de sa solution de téléphonie d’entreprise externalisée, ultra flexible et adaptable</w:t>
      </w:r>
    </w:p>
    <w:p w14:paraId="7FB9F144" w14:textId="77777777" w:rsidR="00183B30" w:rsidRDefault="00183B30">
      <w:pPr>
        <w:spacing w:line="240" w:lineRule="auto"/>
        <w:jc w:val="center"/>
        <w:rPr>
          <w:b/>
          <w:sz w:val="50"/>
          <w:szCs w:val="50"/>
        </w:rPr>
      </w:pPr>
    </w:p>
    <w:p w14:paraId="1B69B1C5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  <w:color w:val="008DA2"/>
        </w:rPr>
        <w:t>La téléphonie hébergée, un service au sein des communications unifiées</w:t>
      </w:r>
    </w:p>
    <w:p w14:paraId="40D593FB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>A l’heure du développement du télétravail, l’efficacité de la solution de téléphonie est déterminante pour l’activité de l’entreprise. Il est donc nécessaire pour elle de disposer d’une</w:t>
      </w:r>
      <w:r>
        <w:t xml:space="preserve"> solution centralisée, garantissant stabilité et flexibilité de manière à s’adapter à ses besoins spécifiques.</w:t>
      </w:r>
    </w:p>
    <w:p w14:paraId="5C9ACD9D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b/>
          <w:color w:val="008BA2"/>
        </w:rPr>
      </w:pPr>
      <w:proofErr w:type="spellStart"/>
      <w:r>
        <w:rPr>
          <w:b/>
          <w:color w:val="008BA2"/>
        </w:rPr>
        <w:t>CommUnity</w:t>
      </w:r>
      <w:proofErr w:type="spellEnd"/>
      <w:r>
        <w:rPr>
          <w:b/>
          <w:color w:val="008BA2"/>
        </w:rPr>
        <w:t xml:space="preserve">, la nouvelle version du service de téléphonie hébergée de </w:t>
      </w:r>
      <w:proofErr w:type="spellStart"/>
      <w:r>
        <w:rPr>
          <w:b/>
          <w:color w:val="008BA2"/>
        </w:rPr>
        <w:t>Linkt</w:t>
      </w:r>
      <w:proofErr w:type="spellEnd"/>
      <w:r>
        <w:rPr>
          <w:b/>
          <w:color w:val="008BA2"/>
        </w:rPr>
        <w:t xml:space="preserve">, offre cette souplesse, permettant d’adapter la solution de téléphonie </w:t>
      </w:r>
      <w:r>
        <w:rPr>
          <w:b/>
          <w:color w:val="008BA2"/>
        </w:rPr>
        <w:t>à chaque utilisateur.</w:t>
      </w:r>
    </w:p>
    <w:p w14:paraId="39CEDA2D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b/>
          <w:color w:val="008BA2"/>
        </w:rPr>
      </w:pPr>
      <w:r>
        <w:t>Puisque les habitudes et usages des collaborateurs varient en fonction de leur métier, le service met à leur disposition les options et équipements dont ils ont besoin et leur propose une interface en ligne afin d’être</w:t>
      </w:r>
      <w:r>
        <w:rPr>
          <w:color w:val="008BA2"/>
        </w:rPr>
        <w:t xml:space="preserve"> </w:t>
      </w:r>
      <w:r>
        <w:rPr>
          <w:b/>
          <w:color w:val="008BA2"/>
        </w:rPr>
        <w:t xml:space="preserve">autonomes dans </w:t>
      </w:r>
      <w:r>
        <w:rPr>
          <w:b/>
          <w:color w:val="008BA2"/>
        </w:rPr>
        <w:t>la gestion de leur numéro.</w:t>
      </w:r>
    </w:p>
    <w:p w14:paraId="4F94B787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 xml:space="preserve">De la même façon, </w:t>
      </w:r>
      <w:r>
        <w:rPr>
          <w:b/>
          <w:color w:val="008BA2"/>
        </w:rPr>
        <w:t>l’interface administrateur permet de gérer de manière autonome son service de téléphonie.</w:t>
      </w:r>
      <w:r>
        <w:t xml:space="preserve"> L’utilisateur a la main pour réaliser les modifications nécessaires à l’adaptation de sa téléphonie aux besoins du moment</w:t>
      </w:r>
      <w:r>
        <w:t>. Il est par exemple possible de modifier son message d’accueil lors d’un événement en toute autonomie.</w:t>
      </w:r>
    </w:p>
    <w:p w14:paraId="1751A550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>Pour les sociétés multisites, la mutualisation de l’infrastructure dans le réseau de l’opérateur permet une administration de la globalité de la télépho</w:t>
      </w:r>
      <w:r>
        <w:t>nie sur une unique interface en ligne. Plus besoin de mettre en place une infrastructure dédiée sur chacun des sites de l’entreprise.</w:t>
      </w:r>
    </w:p>
    <w:p w14:paraId="323FBDCA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 xml:space="preserve">Avec </w:t>
      </w:r>
      <w:proofErr w:type="spellStart"/>
      <w:r>
        <w:t>CommUnity</w:t>
      </w:r>
      <w:proofErr w:type="spellEnd"/>
      <w:r>
        <w:t xml:space="preserve"> de </w:t>
      </w:r>
      <w:proofErr w:type="spellStart"/>
      <w:r>
        <w:t>Linkt</w:t>
      </w:r>
      <w:proofErr w:type="spellEnd"/>
      <w:r>
        <w:t xml:space="preserve">, l’entreprise bénéficie d’un coût à l’utilisateur qui offre une grande </w:t>
      </w:r>
      <w:proofErr w:type="gramStart"/>
      <w:r>
        <w:t>prédictibilité</w:t>
      </w:r>
      <w:proofErr w:type="gramEnd"/>
      <w:r>
        <w:t xml:space="preserve"> des coûts, e</w:t>
      </w:r>
      <w:r>
        <w:t>t permet la maîtrise du budget téléphonie.</w:t>
      </w:r>
    </w:p>
    <w:p w14:paraId="5260AC0C" w14:textId="77777777" w:rsidR="00183B30" w:rsidRDefault="00183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8BA2"/>
        </w:rPr>
      </w:pPr>
    </w:p>
    <w:p w14:paraId="61B53501" w14:textId="77777777" w:rsidR="00183B30" w:rsidRDefault="00183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8BA2"/>
        </w:rPr>
      </w:pPr>
    </w:p>
    <w:p w14:paraId="7FBF4FBC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8BA2"/>
        </w:rPr>
      </w:pPr>
      <w:proofErr w:type="spellStart"/>
      <w:r>
        <w:rPr>
          <w:b/>
          <w:color w:val="008BA2"/>
        </w:rPr>
        <w:t>MobiFixe</w:t>
      </w:r>
      <w:proofErr w:type="spellEnd"/>
      <w:r>
        <w:rPr>
          <w:b/>
          <w:color w:val="008BA2"/>
        </w:rPr>
        <w:t>, la téléphonie fixe sans contrainte</w:t>
      </w:r>
    </w:p>
    <w:p w14:paraId="6962E079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 xml:space="preserve">En tant qu’opérateur de téléphonie fixe et mobile, </w:t>
      </w:r>
      <w:proofErr w:type="spellStart"/>
      <w:r>
        <w:t>Linkt</w:t>
      </w:r>
      <w:proofErr w:type="spellEnd"/>
      <w:r>
        <w:t xml:space="preserve"> réalise la convergence de plusieurs technologies pour proposer une solution de téléphonie fixe sur réseau mobile. </w:t>
      </w:r>
    </w:p>
    <w:p w14:paraId="114A617E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 xml:space="preserve">L’utilisateur reste ainsi joignable en permanence : l’offre de </w:t>
      </w:r>
      <w:proofErr w:type="spellStart"/>
      <w:r>
        <w:t>Linkt</w:t>
      </w:r>
      <w:proofErr w:type="spellEnd"/>
      <w:r>
        <w:t xml:space="preserve"> repose sur les </w:t>
      </w:r>
      <w:r>
        <w:t>trois grands réseaux mobiles français, ce qui permet de choisir, pour chaque ligne, le réseau le plus adapté en fonction de sa zone d’utilisation.</w:t>
      </w:r>
    </w:p>
    <w:p w14:paraId="6D8AE8F3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>Une solution simple et rapide à installer : le poste installé ne nécessite aucun câblage et propose une résil</w:t>
      </w:r>
      <w:r>
        <w:t xml:space="preserve">ience électrique grâce à sa batterie intégrée. Afin de répondre à tous les usages, </w:t>
      </w:r>
      <w:proofErr w:type="spellStart"/>
      <w:r>
        <w:t>Linkt</w:t>
      </w:r>
      <w:proofErr w:type="spellEnd"/>
      <w:r>
        <w:t xml:space="preserve"> propose deux types d’équipements </w:t>
      </w:r>
      <w:proofErr w:type="spellStart"/>
      <w:r>
        <w:t>TecDesk</w:t>
      </w:r>
      <w:proofErr w:type="spellEnd"/>
      <w:r>
        <w:t xml:space="preserve"> : un téléphone fixe ou un combiné </w:t>
      </w:r>
      <w:proofErr w:type="gramStart"/>
      <w:r>
        <w:t>sans</w:t>
      </w:r>
      <w:proofErr w:type="gramEnd"/>
      <w:r>
        <w:t>-fil.</w:t>
      </w:r>
    </w:p>
    <w:p w14:paraId="0517ABBD" w14:textId="77777777" w:rsidR="00183B30" w:rsidRDefault="00183B3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b/>
          <w:color w:val="008BA2"/>
        </w:rPr>
      </w:pPr>
    </w:p>
    <w:p w14:paraId="78243611" w14:textId="77777777" w:rsidR="00183B30" w:rsidRDefault="00183B30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b/>
          <w:color w:val="008BA2"/>
        </w:rPr>
      </w:pPr>
    </w:p>
    <w:p w14:paraId="203B2429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b/>
          <w:color w:val="008BA2"/>
        </w:rPr>
      </w:pPr>
      <w:r>
        <w:rPr>
          <w:b/>
          <w:color w:val="008BA2"/>
        </w:rPr>
        <w:lastRenderedPageBreak/>
        <w:t>Une large gamme de services hébergés de téléphonie</w:t>
      </w:r>
    </w:p>
    <w:p w14:paraId="17E707A6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>Avec les offres Fax To Mail e</w:t>
      </w:r>
      <w:r>
        <w:t>t Mail to Fax, une alternative à la ligne RTC est proposée pour l’envoi et la réception de Fax en les dématérialisant.</w:t>
      </w:r>
    </w:p>
    <w:p w14:paraId="151D1B1D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>Le service audioconférence permet la création d’une salle de conférence audio jusqu’à 25 participants.</w:t>
      </w:r>
    </w:p>
    <w:p w14:paraId="18A5D6AB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</w:pPr>
      <w:r>
        <w:t xml:space="preserve">Mais aussi : </w:t>
      </w:r>
    </w:p>
    <w:p w14:paraId="2D291B44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</w:pPr>
      <w:r>
        <w:t>- u</w:t>
      </w:r>
      <w:r>
        <w:t>ne joignabilité accrue grâce à des fonctionnalités avancées de gestion d’appels.</w:t>
      </w:r>
    </w:p>
    <w:p w14:paraId="1D07BB93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- une solution flexible s’adaptant à </w:t>
      </w:r>
      <w:proofErr w:type="spellStart"/>
      <w:r>
        <w:t>chaques</w:t>
      </w:r>
      <w:proofErr w:type="spellEnd"/>
      <w:r>
        <w:t xml:space="preserve"> usages : au bureau, en déplacement ou en conférence.</w:t>
      </w:r>
    </w:p>
    <w:p w14:paraId="4CB3AEE6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- Une gamme complète de postes de dernière génération pour chaque utilisation</w:t>
      </w:r>
      <w:r>
        <w:t>.</w:t>
      </w:r>
    </w:p>
    <w:p w14:paraId="244985BF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- Des fonctionnalités évoluant avec le marché grâce à une plateforme récente et évolutive.</w:t>
      </w:r>
    </w:p>
    <w:p w14:paraId="339CC236" w14:textId="77777777" w:rsidR="00183B30" w:rsidRDefault="0073017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- La mutualisation des infrastructures en mixant les services de téléphonies avec l’accès Internet ou VPN IP de l’entreprise.</w:t>
      </w:r>
    </w:p>
    <w:p w14:paraId="1FD35295" w14:textId="77777777" w:rsidR="00183B30" w:rsidRDefault="00183B3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913E41E" w14:textId="77777777" w:rsidR="00183B30" w:rsidRDefault="00730175">
      <w:pPr>
        <w:spacing w:line="240" w:lineRule="auto"/>
        <w:jc w:val="center"/>
      </w:pPr>
      <w:r>
        <w:rPr>
          <w:b/>
          <w:noProof/>
          <w:sz w:val="36"/>
          <w:szCs w:val="36"/>
        </w:rPr>
        <w:drawing>
          <wp:inline distT="114300" distB="114300" distL="114300" distR="114300" wp14:anchorId="631041B4" wp14:editId="01B58A9C">
            <wp:extent cx="5116350" cy="2375113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6350" cy="2375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22F909" w14:textId="77777777" w:rsidR="00183B30" w:rsidRDefault="00730175">
      <w:pPr>
        <w:shd w:val="clear" w:color="auto" w:fill="FFFFFF"/>
        <w:spacing w:before="200" w:after="10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2C932B96" wp14:editId="24FBD3B7">
            <wp:extent cx="5138116" cy="238037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8116" cy="2380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B8B991" w14:textId="77777777" w:rsidR="00183B30" w:rsidRDefault="00183B30">
      <w:pPr>
        <w:shd w:val="clear" w:color="auto" w:fill="FFFFFF"/>
        <w:rPr>
          <w:b/>
          <w:sz w:val="18"/>
          <w:szCs w:val="18"/>
        </w:rPr>
      </w:pPr>
    </w:p>
    <w:p w14:paraId="34B3CDB6" w14:textId="77777777" w:rsidR="00183B30" w:rsidRDefault="00730175">
      <w:pPr>
        <w:shd w:val="clear" w:color="auto" w:fill="FFFFFF"/>
        <w:rPr>
          <w:b/>
          <w:sz w:val="8"/>
          <w:szCs w:val="8"/>
        </w:rPr>
      </w:pPr>
      <w:r>
        <w:rPr>
          <w:b/>
          <w:sz w:val="18"/>
          <w:szCs w:val="18"/>
        </w:rPr>
        <w:t xml:space="preserve">A propos de </w:t>
      </w:r>
      <w:proofErr w:type="spellStart"/>
      <w:r>
        <w:rPr>
          <w:b/>
          <w:sz w:val="18"/>
          <w:szCs w:val="18"/>
        </w:rPr>
        <w:t>Linkt</w:t>
      </w:r>
      <w:proofErr w:type="spellEnd"/>
      <w:r>
        <w:rPr>
          <w:sz w:val="18"/>
          <w:szCs w:val="18"/>
        </w:rPr>
        <w:t xml:space="preserve"> – </w:t>
      </w:r>
      <w:hyperlink r:id="rId10">
        <w:r>
          <w:rPr>
            <w:color w:val="0000FF"/>
            <w:sz w:val="18"/>
            <w:szCs w:val="18"/>
            <w:u w:val="single"/>
          </w:rPr>
          <w:t>www.linkt.fr</w:t>
        </w:r>
      </w:hyperlink>
      <w:r>
        <w:rPr>
          <w:b/>
          <w:sz w:val="18"/>
          <w:szCs w:val="18"/>
        </w:rPr>
        <w:br/>
      </w:r>
    </w:p>
    <w:p w14:paraId="70E79761" w14:textId="77777777" w:rsidR="00183B30" w:rsidRDefault="00730175">
      <w:pPr>
        <w:shd w:val="clear" w:color="auto" w:fill="FFFFFF"/>
        <w:rPr>
          <w:b/>
          <w:sz w:val="18"/>
          <w:szCs w:val="18"/>
        </w:rPr>
      </w:pPr>
      <w:proofErr w:type="spellStart"/>
      <w:r>
        <w:rPr>
          <w:sz w:val="18"/>
          <w:szCs w:val="18"/>
        </w:rPr>
        <w:t>Linkt</w:t>
      </w:r>
      <w:proofErr w:type="spellEnd"/>
      <w:r>
        <w:rPr>
          <w:sz w:val="18"/>
          <w:szCs w:val="18"/>
        </w:rPr>
        <w:t xml:space="preserve"> est l’opérateur télécom Entreprises et Collectivités du Groupe Altitude, totalement dédié aux PME, ETI, aux grands groupes et aux collectivités. Interconnecté à tous les opérateurs d’infrastructure du territo</w:t>
      </w:r>
      <w:r>
        <w:rPr>
          <w:sz w:val="18"/>
          <w:szCs w:val="18"/>
        </w:rPr>
        <w:t xml:space="preserve">ire, </w:t>
      </w:r>
      <w:proofErr w:type="spellStart"/>
      <w:r>
        <w:rPr>
          <w:sz w:val="18"/>
          <w:szCs w:val="18"/>
        </w:rPr>
        <w:t>Linkt</w:t>
      </w:r>
      <w:proofErr w:type="spellEnd"/>
      <w:r>
        <w:rPr>
          <w:sz w:val="18"/>
          <w:szCs w:val="18"/>
        </w:rPr>
        <w:t xml:space="preserve"> propose des solutions d’accès internet très haut débit, d’interconnexion de site (VPN IP MPLS), téléphonie, cloud et sécurité.</w:t>
      </w:r>
    </w:p>
    <w:p w14:paraId="7FA76363" w14:textId="77777777" w:rsidR="00183B30" w:rsidRDefault="00730175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L’entreprise est née en 2016 de la volonté de construire et délivrer une offre associant une couverture nationale à un</w:t>
      </w:r>
      <w:r>
        <w:rPr>
          <w:sz w:val="18"/>
          <w:szCs w:val="18"/>
        </w:rPr>
        <w:t xml:space="preserve">e organisation de proximité. Objectif : une relation client et un service totalement nouveau. </w:t>
      </w:r>
      <w:proofErr w:type="spellStart"/>
      <w:r>
        <w:rPr>
          <w:sz w:val="18"/>
          <w:szCs w:val="18"/>
        </w:rPr>
        <w:t>Linkt</w:t>
      </w:r>
      <w:proofErr w:type="spellEnd"/>
      <w:r>
        <w:rPr>
          <w:sz w:val="18"/>
          <w:szCs w:val="18"/>
        </w:rPr>
        <w:t xml:space="preserve"> connaît une </w:t>
      </w:r>
      <w:r>
        <w:rPr>
          <w:sz w:val="18"/>
          <w:szCs w:val="18"/>
        </w:rPr>
        <w:lastRenderedPageBreak/>
        <w:t xml:space="preserve">croissance fulgurante depuis l’année de son lancement opérationnel. En à peine trois ans, nous comptons 25 implantations sur tout le territoire </w:t>
      </w:r>
      <w:r>
        <w:rPr>
          <w:sz w:val="18"/>
          <w:szCs w:val="18"/>
        </w:rPr>
        <w:t>et nous employons 350 collaborateurs.</w:t>
      </w:r>
    </w:p>
    <w:p w14:paraId="539CD69B" w14:textId="77777777" w:rsidR="00183B30" w:rsidRDefault="00183B30">
      <w:pPr>
        <w:shd w:val="clear" w:color="auto" w:fill="FFFFFF"/>
        <w:jc w:val="both"/>
        <w:rPr>
          <w:sz w:val="18"/>
          <w:szCs w:val="18"/>
        </w:rPr>
      </w:pPr>
    </w:p>
    <w:p w14:paraId="42E1EC13" w14:textId="77777777" w:rsidR="00183B30" w:rsidRDefault="00183B30"/>
    <w:p w14:paraId="702A60BA" w14:textId="77777777" w:rsidR="00183B30" w:rsidRDefault="00730175">
      <w:pPr>
        <w:jc w:val="center"/>
        <w:rPr>
          <w:b/>
        </w:rPr>
      </w:pPr>
      <w:r>
        <w:rPr>
          <w:b/>
        </w:rPr>
        <w:t>Contact presse - Agence OXYGEN</w:t>
      </w:r>
    </w:p>
    <w:p w14:paraId="24CDB8E2" w14:textId="77777777" w:rsidR="00183B30" w:rsidRDefault="00730175">
      <w:pPr>
        <w:jc w:val="center"/>
      </w:pPr>
      <w:r>
        <w:t xml:space="preserve">Cédric Damour - </w:t>
      </w:r>
      <w:hyperlink r:id="rId11">
        <w:r>
          <w:rPr>
            <w:color w:val="1155CC"/>
            <w:u w:val="single"/>
          </w:rPr>
          <w:t>cedric.d@oxygen-rp.com</w:t>
        </w:r>
      </w:hyperlink>
      <w:r>
        <w:t xml:space="preserve"> - 06 35 54 45 96 </w:t>
      </w:r>
    </w:p>
    <w:sectPr w:rsidR="00183B30">
      <w:headerReference w:type="default" r:id="rId12"/>
      <w:headerReference w:type="first" r:id="rId13"/>
      <w:footerReference w:type="first" r:id="rId14"/>
      <w:pgSz w:w="11906" w:h="16838"/>
      <w:pgMar w:top="1417" w:right="1417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1763F" w14:textId="77777777" w:rsidR="00000000" w:rsidRDefault="00730175">
      <w:pPr>
        <w:spacing w:line="240" w:lineRule="auto"/>
      </w:pPr>
      <w:r>
        <w:separator/>
      </w:r>
    </w:p>
  </w:endnote>
  <w:endnote w:type="continuationSeparator" w:id="0">
    <w:p w14:paraId="557F6EFC" w14:textId="77777777" w:rsidR="00000000" w:rsidRDefault="00730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AA75" w14:textId="77777777" w:rsidR="00183B30" w:rsidRDefault="00183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E320" w14:textId="77777777" w:rsidR="00000000" w:rsidRDefault="00730175">
      <w:pPr>
        <w:spacing w:line="240" w:lineRule="auto"/>
      </w:pPr>
      <w:r>
        <w:separator/>
      </w:r>
    </w:p>
  </w:footnote>
  <w:footnote w:type="continuationSeparator" w:id="0">
    <w:p w14:paraId="3EE72B47" w14:textId="77777777" w:rsidR="00000000" w:rsidRDefault="00730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A0CC" w14:textId="77777777" w:rsidR="00183B30" w:rsidRDefault="00183B3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FA3A" w14:textId="77777777" w:rsidR="00183B30" w:rsidRDefault="00730175">
    <w:pPr>
      <w:jc w:val="right"/>
      <w:rPr>
        <w:color w:val="3AA870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A1A86EB" wp14:editId="56B6AAE7">
          <wp:simplePos x="0" y="0"/>
          <wp:positionH relativeFrom="column">
            <wp:posOffset>0</wp:posOffset>
          </wp:positionH>
          <wp:positionV relativeFrom="paragraph">
            <wp:posOffset>-1904</wp:posOffset>
          </wp:positionV>
          <wp:extent cx="1143318" cy="649291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318" cy="649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D47C02" w14:textId="77777777" w:rsidR="00183B30" w:rsidRDefault="00183B30">
    <w:pPr>
      <w:jc w:val="right"/>
      <w:rPr>
        <w:color w:val="3AA870"/>
        <w:sz w:val="24"/>
        <w:szCs w:val="24"/>
      </w:rPr>
    </w:pPr>
  </w:p>
  <w:p w14:paraId="1EA612CC" w14:textId="77777777" w:rsidR="00183B30" w:rsidRDefault="00730175">
    <w:pPr>
      <w:jc w:val="right"/>
      <w:rPr>
        <w:color w:val="3AA870"/>
        <w:sz w:val="24"/>
        <w:szCs w:val="24"/>
      </w:rPr>
    </w:pPr>
    <w:r>
      <w:rPr>
        <w:color w:val="3AA870"/>
        <w:sz w:val="24"/>
        <w:szCs w:val="24"/>
      </w:rPr>
      <w:t xml:space="preserve">Communiqué de presse </w:t>
    </w:r>
  </w:p>
  <w:p w14:paraId="642BED2E" w14:textId="77777777" w:rsidR="00183B30" w:rsidRDefault="00730175">
    <w:pPr>
      <w:jc w:val="right"/>
      <w:rPr>
        <w:sz w:val="18"/>
        <w:szCs w:val="18"/>
      </w:rPr>
    </w:pPr>
    <w:r>
      <w:rPr>
        <w:sz w:val="18"/>
        <w:szCs w:val="18"/>
      </w:rPr>
      <w:t xml:space="preserve"> XX janvier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30"/>
    <w:rsid w:val="00183B30"/>
    <w:rsid w:val="007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73E7"/>
  <w15:docId w15:val="{5A9A7A3F-F18F-4B20-976C-7D265EB1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6C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1FD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1FDD"/>
    <w:rPr>
      <w:rFonts w:ascii="Arial" w:eastAsia="Arial" w:hAnsi="Arial" w:cs="Arial"/>
      <w:sz w:val="20"/>
      <w:szCs w:val="20"/>
      <w:lang w:val="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51FD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D4802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edric.d@oxygen-rp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nkt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Aott5XJXsxIj7IU0/rKeGRA7g==">AMUW2mUPFDeTzwKlBr6ebMMQ8Sr1e9zjn7myV0zXuRT0j8p0OawrKnNLNPttqBU8VF6ztemTl59Zd30VyY/7kMiRwK8ODeFz7g3lwtSWVCWrZuPyQm5hVJE=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3581</Characters>
  <Application>Microsoft Office Word</Application>
  <DocSecurity>4</DocSecurity>
  <Lines>29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Maïté Sommervogel</dc:creator>
  <cp:lastModifiedBy>Maïté Sommervogel</cp:lastModifiedBy>
  <cp:revision>2</cp:revision>
  <dcterms:created xsi:type="dcterms:W3CDTF">2021-02-16T18:01:00Z</dcterms:created>
  <dcterms:modified xsi:type="dcterms:W3CDTF">2021-02-16T18:01:00Z</dcterms:modified>
</cp:coreProperties>
</file>